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2FC" w:rsidRPr="00581499" w:rsidRDefault="00E432FC" w:rsidP="00E432FC">
      <w:pPr>
        <w:pStyle w:val="Heading1"/>
        <w:jc w:val="both"/>
        <w:rPr>
          <w:lang w:val="vi-VN"/>
        </w:rPr>
      </w:pPr>
      <w:bookmarkStart w:id="0" w:name="_Toc143821538"/>
      <w:r w:rsidRPr="00581499">
        <w:rPr>
          <w:sz w:val="24"/>
          <w:szCs w:val="24"/>
        </w:rPr>
        <w:t>UNG THƯ CỔ TỬ CUNG</w:t>
      </w:r>
      <w:r w:rsidRPr="00581499">
        <w:t xml:space="preserve">, </w:t>
      </w:r>
      <w:r w:rsidRPr="00581499">
        <w:rPr>
          <w:b w:val="0"/>
          <w:bCs/>
          <w:lang w:val="vi-VN"/>
        </w:rPr>
        <w:t>bệnh ung thư của cơ quan sinh dục nữ, nằm giữa thân tử cung và âm đạo. Bệnh xuất phát từ sự phát triển bất thường, không kiểm soát của các tế bào lót lòng cổ tử cung. Bệnh phát hiện ở giai đoạn sớm thì tỷ lệ chữa khỏi cao, ngược lại nếu không được điều trị có thể gây tử vong.</w:t>
      </w:r>
      <w:bookmarkEnd w:id="0"/>
    </w:p>
    <w:p w:rsidR="00E432FC" w:rsidRPr="00581499" w:rsidRDefault="00E432FC" w:rsidP="00E432FC">
      <w:pPr>
        <w:spacing w:after="0"/>
        <w:contextualSpacing/>
        <w:rPr>
          <w:spacing w:val="-2"/>
          <w:sz w:val="28"/>
          <w:szCs w:val="28"/>
          <w:lang w:val="vi-VN"/>
        </w:rPr>
      </w:pPr>
      <w:r w:rsidRPr="00581499">
        <w:rPr>
          <w:spacing w:val="-2"/>
          <w:sz w:val="28"/>
          <w:szCs w:val="28"/>
          <w:lang w:val="vi-VN"/>
        </w:rPr>
        <w:t>Theo thống kê của Cơ quan nghiên cứu Ung thư Quốc tế, năm 2020, UTCTC đứng thứ 8 về tỷ lệ mắc ở cả 2 giới, thứ 4 ở giới nữ với 604.127 ca và thứ 9 về t</w:t>
      </w:r>
      <w:r w:rsidRPr="008B25B4">
        <w:rPr>
          <w:spacing w:val="-2"/>
          <w:sz w:val="28"/>
          <w:szCs w:val="28"/>
          <w:lang w:val="vi-VN"/>
        </w:rPr>
        <w:t>ỉ</w:t>
      </w:r>
      <w:r w:rsidRPr="00581499">
        <w:rPr>
          <w:spacing w:val="-2"/>
          <w:sz w:val="28"/>
          <w:szCs w:val="28"/>
          <w:lang w:val="vi-VN"/>
        </w:rPr>
        <w:t xml:space="preserve"> lệ tử vong với 341.831 ca. Tại Việt Nam, bệnh lý này đứng thứ 12 về cả t</w:t>
      </w:r>
      <w:r w:rsidRPr="008B25B4">
        <w:rPr>
          <w:spacing w:val="-2"/>
          <w:sz w:val="28"/>
          <w:szCs w:val="28"/>
          <w:lang w:val="vi-VN"/>
        </w:rPr>
        <w:t>ỉ</w:t>
      </w:r>
      <w:r w:rsidRPr="00581499">
        <w:rPr>
          <w:spacing w:val="-2"/>
          <w:sz w:val="28"/>
          <w:szCs w:val="28"/>
          <w:lang w:val="vi-VN"/>
        </w:rPr>
        <w:t xml:space="preserve"> lệ mắc và t</w:t>
      </w:r>
      <w:r w:rsidRPr="008B25B4">
        <w:rPr>
          <w:spacing w:val="-2"/>
          <w:sz w:val="28"/>
          <w:szCs w:val="28"/>
          <w:lang w:val="vi-VN"/>
        </w:rPr>
        <w:t>ỉ</w:t>
      </w:r>
      <w:r w:rsidRPr="00581499">
        <w:rPr>
          <w:spacing w:val="-2"/>
          <w:sz w:val="28"/>
          <w:szCs w:val="28"/>
          <w:lang w:val="vi-VN"/>
        </w:rPr>
        <w:t xml:space="preserve"> lệ tử vong với 4.132 ca mắc mới và 2.223 ca tử vong. </w:t>
      </w:r>
    </w:p>
    <w:p w:rsidR="00E432FC" w:rsidRPr="00581499" w:rsidRDefault="00E432FC" w:rsidP="00E432FC">
      <w:pPr>
        <w:spacing w:after="0"/>
        <w:contextualSpacing/>
        <w:rPr>
          <w:sz w:val="28"/>
          <w:szCs w:val="28"/>
          <w:lang w:val="vi-VN"/>
        </w:rPr>
      </w:pPr>
      <w:r w:rsidRPr="00581499">
        <w:rPr>
          <w:sz w:val="28"/>
          <w:szCs w:val="28"/>
          <w:lang w:val="vi-VN"/>
        </w:rPr>
        <w:t>UTCTC bao gồm ung thư biểu mô vảy (80-90%), ung thư biểu mô tuyến (10-20%) và ung thư biểu mô tuyến – vảy cổ tử cung.</w:t>
      </w:r>
    </w:p>
    <w:p w:rsidR="00E432FC" w:rsidRPr="00581499" w:rsidRDefault="00E432FC" w:rsidP="00E432FC">
      <w:pPr>
        <w:spacing w:after="0"/>
        <w:contextualSpacing/>
        <w:rPr>
          <w:sz w:val="28"/>
          <w:szCs w:val="28"/>
          <w:lang w:val="vi-VN"/>
        </w:rPr>
      </w:pPr>
      <w:r w:rsidRPr="00581499">
        <w:rPr>
          <w:sz w:val="28"/>
          <w:szCs w:val="28"/>
          <w:lang w:val="vi-VN"/>
        </w:rPr>
        <w:t>UTCTC thường phát triển chậm. Những bất thường ban đầu xảy ra ở một số tế bào dưới dạng loạn sản. Rối loạn trung bình đến nặng có thể chuyển thành ung thư.</w:t>
      </w:r>
    </w:p>
    <w:p w:rsidR="00E432FC" w:rsidRPr="00581499" w:rsidRDefault="00E432FC" w:rsidP="00E432FC">
      <w:pPr>
        <w:spacing w:after="0"/>
        <w:contextualSpacing/>
        <w:rPr>
          <w:sz w:val="28"/>
          <w:szCs w:val="28"/>
          <w:lang w:val="vi-VN"/>
        </w:rPr>
      </w:pPr>
      <w:r w:rsidRPr="00581499">
        <w:rPr>
          <w:sz w:val="28"/>
          <w:szCs w:val="28"/>
          <w:lang w:val="vi-VN"/>
        </w:rPr>
        <w:t>Tầm soát ung thư cổ tử chung chủ yếu bằng xét nghiệm phiến đồ tử cung-âm đạo (test Pap). Ở Mỹ, tỷ lệ tử vong do UTCTC giảm rõ rệt nhờ việc ứng dụng xét nghiệm này trong tầm soát bệnh. UTCTC thường phát triển chậm nên việc phát hiện sớm sẽ giúp tỷ lệ điều trị khỏi cao.</w:t>
      </w:r>
    </w:p>
    <w:p w:rsidR="00E432FC" w:rsidRPr="008B25B4" w:rsidRDefault="00E432FC" w:rsidP="00E432FC">
      <w:pPr>
        <w:spacing w:after="0"/>
        <w:contextualSpacing/>
        <w:rPr>
          <w:b/>
          <w:bCs/>
          <w:sz w:val="28"/>
          <w:szCs w:val="28"/>
          <w:lang w:val="vi-VN"/>
        </w:rPr>
      </w:pPr>
      <w:r w:rsidRPr="00581499">
        <w:rPr>
          <w:b/>
          <w:bCs/>
          <w:sz w:val="28"/>
          <w:szCs w:val="28"/>
          <w:lang w:val="vi-VN"/>
        </w:rPr>
        <w:t>Yếu tố nguy cơ</w:t>
      </w:r>
      <w:r w:rsidRPr="008B25B4">
        <w:rPr>
          <w:sz w:val="28"/>
          <w:szCs w:val="28"/>
          <w:lang w:val="vi-VN"/>
        </w:rPr>
        <w:t xml:space="preserve">: </w:t>
      </w:r>
      <w:r w:rsidRPr="00581499">
        <w:rPr>
          <w:sz w:val="28"/>
          <w:szCs w:val="28"/>
          <w:lang w:val="vi-VN"/>
        </w:rPr>
        <w:t>Các yếu tố nguy cơ trong UTCTC bao gồm: quan hệ tình dục trước 16 tuổi, có nhiều bạn tình, bạn tình có nhiều bạn tình khác, sinh đẻ nhiều lần (≥ 7 lần), hút thuốc lá, suy giảm hệ thống miễn dịch, sử dụng thuốc chống sảy thai Diethylstilbestrol (DES)…</w:t>
      </w:r>
    </w:p>
    <w:p w:rsidR="00E432FC" w:rsidRPr="008B25B4" w:rsidRDefault="00E432FC" w:rsidP="00E432FC">
      <w:pPr>
        <w:spacing w:after="0"/>
        <w:contextualSpacing/>
        <w:rPr>
          <w:b/>
          <w:bCs/>
          <w:sz w:val="28"/>
          <w:szCs w:val="28"/>
          <w:lang w:val="vi-VN"/>
        </w:rPr>
      </w:pPr>
      <w:r w:rsidRPr="00581499">
        <w:rPr>
          <w:b/>
          <w:bCs/>
          <w:sz w:val="28"/>
          <w:szCs w:val="28"/>
          <w:lang w:val="vi-VN"/>
        </w:rPr>
        <w:t>Nguyên nhân</w:t>
      </w:r>
      <w:r w:rsidRPr="008B25B4">
        <w:rPr>
          <w:b/>
          <w:bCs/>
          <w:sz w:val="28"/>
          <w:szCs w:val="28"/>
          <w:lang w:val="vi-VN"/>
        </w:rPr>
        <w:t xml:space="preserve">: </w:t>
      </w:r>
      <w:r w:rsidRPr="00581499">
        <w:rPr>
          <w:sz w:val="28"/>
          <w:szCs w:val="28"/>
          <w:lang w:val="vi-VN"/>
        </w:rPr>
        <w:t>khoảng 90% bệnh UTCTC có liên quan tới nhiễm vi</w:t>
      </w:r>
      <w:r w:rsidRPr="008B25B4">
        <w:rPr>
          <w:sz w:val="28"/>
          <w:szCs w:val="28"/>
          <w:lang w:val="vi-VN"/>
        </w:rPr>
        <w:t xml:space="preserve">rus </w:t>
      </w:r>
      <w:r w:rsidRPr="00581499">
        <w:rPr>
          <w:sz w:val="28"/>
          <w:szCs w:val="28"/>
          <w:lang w:val="vi-VN"/>
        </w:rPr>
        <w:t>gây u nhú ở người (Human papilloma virus- HPV). Có hơn 80 loại của HPV và khoảng 15 loại HPV lây truyền qua đường tình dục có liên quan tới UTCTC. Khoảng 90% UTCTC xâm nhập có liên quan đến HPV-16 hoặc HPV-18.</w:t>
      </w:r>
    </w:p>
    <w:p w:rsidR="00E432FC" w:rsidRPr="00581499" w:rsidRDefault="00E432FC" w:rsidP="00E432FC">
      <w:pPr>
        <w:spacing w:after="0"/>
        <w:contextualSpacing/>
        <w:rPr>
          <w:sz w:val="28"/>
          <w:szCs w:val="28"/>
          <w:lang w:val="vi-VN"/>
        </w:rPr>
      </w:pPr>
      <w:r w:rsidRPr="008B25B4">
        <w:rPr>
          <w:b/>
          <w:sz w:val="28"/>
          <w:szCs w:val="28"/>
          <w:lang w:val="vi-VN"/>
        </w:rPr>
        <w:t>Triệu chứng:</w:t>
      </w:r>
      <w:r w:rsidRPr="008B25B4">
        <w:rPr>
          <w:sz w:val="28"/>
          <w:szCs w:val="28"/>
          <w:lang w:val="vi-VN"/>
        </w:rPr>
        <w:t xml:space="preserve"> đ</w:t>
      </w:r>
      <w:r w:rsidRPr="00581499">
        <w:rPr>
          <w:sz w:val="28"/>
          <w:szCs w:val="28"/>
          <w:lang w:val="vi-VN"/>
        </w:rPr>
        <w:t>a số các bệnh nhân bị UTCTC đều không xuất hiện các triệu chứng, nếu có thể thì có các biểu hiện sau: rối loạn kinh nguyệt (rong kinh hoặc cường kinh), chảy máu âm đạo, ra máu bất thường âm đạo ở phụ nữ mãn kinh, đau khi quan hệ tình dục, đau vùng chậu…</w:t>
      </w:r>
    </w:p>
    <w:p w:rsidR="00E432FC" w:rsidRPr="008B25B4" w:rsidRDefault="00E432FC" w:rsidP="00E432FC">
      <w:pPr>
        <w:spacing w:after="0"/>
        <w:contextualSpacing/>
        <w:rPr>
          <w:b/>
          <w:bCs/>
          <w:sz w:val="28"/>
          <w:szCs w:val="28"/>
          <w:lang w:val="vi-VN"/>
        </w:rPr>
      </w:pPr>
      <w:r w:rsidRPr="00581499">
        <w:rPr>
          <w:b/>
          <w:bCs/>
          <w:sz w:val="28"/>
          <w:szCs w:val="28"/>
          <w:lang w:val="vi-VN"/>
        </w:rPr>
        <w:lastRenderedPageBreak/>
        <w:t>Chẩn đoán</w:t>
      </w:r>
      <w:r w:rsidRPr="008B25B4">
        <w:rPr>
          <w:b/>
          <w:bCs/>
          <w:sz w:val="28"/>
          <w:szCs w:val="28"/>
          <w:lang w:val="vi-VN"/>
        </w:rPr>
        <w:t xml:space="preserve">: </w:t>
      </w:r>
      <w:r w:rsidRPr="008B25B4">
        <w:rPr>
          <w:i/>
          <w:sz w:val="28"/>
          <w:szCs w:val="28"/>
          <w:lang w:val="vi-VN"/>
        </w:rPr>
        <w:t>1 )</w:t>
      </w:r>
      <w:r w:rsidRPr="00581499">
        <w:rPr>
          <w:i/>
          <w:sz w:val="28"/>
          <w:szCs w:val="28"/>
          <w:lang w:val="vi-VN"/>
        </w:rPr>
        <w:t>Phiến đồ âm đạo – cổ tử cung</w:t>
      </w:r>
      <w:r w:rsidRPr="008B25B4">
        <w:rPr>
          <w:sz w:val="28"/>
          <w:szCs w:val="28"/>
          <w:lang w:val="vi-VN"/>
        </w:rPr>
        <w:t xml:space="preserve">: </w:t>
      </w:r>
      <w:r w:rsidRPr="00581499">
        <w:rPr>
          <w:sz w:val="28"/>
          <w:szCs w:val="28"/>
          <w:lang w:val="vi-VN"/>
        </w:rPr>
        <w:t xml:space="preserve">đây là phương pháp có giá trị trong phát hiện tổn thương tiền ung thư, ung thư ở giai đoạn sớm và được dùng trong sàng lọc, phát hiện sớm ung thư trong cộng đồng. Quệt tế bào bong tại cổ trong và cổ ngoài tử cung, nhuộm soi phát hiện tế bào bất thường. </w:t>
      </w:r>
      <w:r w:rsidRPr="008B25B4">
        <w:rPr>
          <w:i/>
          <w:sz w:val="28"/>
          <w:szCs w:val="28"/>
          <w:lang w:val="vi-VN"/>
        </w:rPr>
        <w:t xml:space="preserve">2) </w:t>
      </w:r>
      <w:r w:rsidRPr="00581499">
        <w:rPr>
          <w:i/>
          <w:sz w:val="28"/>
          <w:szCs w:val="28"/>
          <w:lang w:val="vi-VN"/>
        </w:rPr>
        <w:t>Sinh thiết</w:t>
      </w:r>
      <w:r w:rsidRPr="008B25B4">
        <w:rPr>
          <w:sz w:val="28"/>
          <w:szCs w:val="28"/>
          <w:lang w:val="vi-VN"/>
        </w:rPr>
        <w:t xml:space="preserve">: </w:t>
      </w:r>
      <w:r w:rsidRPr="00581499">
        <w:rPr>
          <w:sz w:val="28"/>
          <w:szCs w:val="28"/>
          <w:lang w:val="vi-VN"/>
        </w:rPr>
        <w:t>khi phiến đồ có bất thường, cần sinh thiết để chẩn đoán xác định. Soi cổ tử cung giúp bác sĩ quan sát tổn thương cổ tử cung ở giai đoạn sớm và vị trí sinh thiết chính xác. Để quan sát rõ có thể làm nghiệm pháp Schiller (nghiệm pháp Lugol): iod sẽ làm cho các tế bào bình thường (có chứa glycogen) trở nên sẫm màu, những tế bào bất thường sẽ không đổi màu và tiến hành sinh thiết vùng không đổi màu. Khoét chóp cổ tử cung vừa là phương pháp chẩn đoán, vừa là phương pháp điều trị UTCTC giai đoạn sớm.</w:t>
      </w:r>
      <w:r w:rsidRPr="008B25B4">
        <w:rPr>
          <w:b/>
          <w:bCs/>
          <w:sz w:val="28"/>
          <w:szCs w:val="28"/>
          <w:lang w:val="vi-VN"/>
        </w:rPr>
        <w:t xml:space="preserve"> </w:t>
      </w:r>
      <w:r w:rsidRPr="008B25B4">
        <w:rPr>
          <w:i/>
          <w:sz w:val="28"/>
          <w:szCs w:val="28"/>
          <w:lang w:val="vi-VN"/>
        </w:rPr>
        <w:t xml:space="preserve">3) </w:t>
      </w:r>
      <w:r w:rsidRPr="00581499">
        <w:rPr>
          <w:i/>
          <w:sz w:val="28"/>
          <w:szCs w:val="28"/>
          <w:lang w:val="vi-VN"/>
        </w:rPr>
        <w:t>Chẩn đoán giai đoạn</w:t>
      </w:r>
      <w:r w:rsidRPr="008B25B4">
        <w:rPr>
          <w:i/>
          <w:sz w:val="28"/>
          <w:szCs w:val="28"/>
          <w:lang w:val="vi-VN"/>
        </w:rPr>
        <w:t>:</w:t>
      </w:r>
      <w:r w:rsidRPr="008B25B4">
        <w:rPr>
          <w:sz w:val="28"/>
          <w:szCs w:val="28"/>
          <w:lang w:val="vi-VN"/>
        </w:rPr>
        <w:t xml:space="preserve"> </w:t>
      </w:r>
      <w:r w:rsidRPr="00581499">
        <w:rPr>
          <w:sz w:val="28"/>
          <w:szCs w:val="28"/>
          <w:lang w:val="vi-VN"/>
        </w:rPr>
        <w:t>bệnh nhân được chẩn đoán xác định UTCTC sẽ tiếp tục làm thêm các xét nghiệm khác để đánh giá giai đoạn bệnh (tức xác định mức độ lan rộng của khối u).</w:t>
      </w:r>
      <w:r w:rsidRPr="008B25B4">
        <w:rPr>
          <w:b/>
          <w:bCs/>
          <w:sz w:val="28"/>
          <w:szCs w:val="28"/>
          <w:lang w:val="vi-VN"/>
        </w:rPr>
        <w:t xml:space="preserve"> </w:t>
      </w:r>
      <w:r w:rsidRPr="008B25B4">
        <w:rPr>
          <w:i/>
          <w:sz w:val="28"/>
          <w:szCs w:val="28"/>
          <w:lang w:val="vi-VN"/>
        </w:rPr>
        <w:t xml:space="preserve">4) </w:t>
      </w:r>
      <w:r w:rsidRPr="00581499">
        <w:rPr>
          <w:i/>
          <w:sz w:val="28"/>
          <w:szCs w:val="28"/>
          <w:lang w:val="vi-VN"/>
        </w:rPr>
        <w:t>Các xét nghiệm đánh giá xâm lấn, di căn</w:t>
      </w:r>
      <w:r w:rsidRPr="00581499">
        <w:rPr>
          <w:sz w:val="28"/>
          <w:szCs w:val="28"/>
          <w:lang w:val="vi-VN"/>
        </w:rPr>
        <w:t xml:space="preserve">: </w:t>
      </w:r>
      <w:r w:rsidRPr="008B25B4">
        <w:rPr>
          <w:sz w:val="28"/>
          <w:szCs w:val="28"/>
          <w:lang w:val="vi-VN"/>
        </w:rPr>
        <w:t xml:space="preserve">có thể sử dụng các xét nghiệm: </w:t>
      </w:r>
      <w:r w:rsidRPr="00581499">
        <w:rPr>
          <w:bCs/>
          <w:iCs/>
          <w:sz w:val="28"/>
          <w:szCs w:val="28"/>
          <w:lang w:val="vi-VN"/>
        </w:rPr>
        <w:t>nộ</w:t>
      </w:r>
      <w:r w:rsidRPr="00581499">
        <w:rPr>
          <w:sz w:val="28"/>
          <w:szCs w:val="28"/>
          <w:lang w:val="vi-VN"/>
        </w:rPr>
        <w:t>i soi bàng quang, chụp thận thuốc tĩnh mạch, nội soi đại trực tràng, siêu âm, chụp cắt lớp vi tính, chụp cộng hưởng từ, xạ hình xương, PET/CT…</w:t>
      </w:r>
    </w:p>
    <w:p w:rsidR="00E432FC" w:rsidRPr="00581499" w:rsidRDefault="00E432FC" w:rsidP="00E432FC">
      <w:pPr>
        <w:spacing w:after="0"/>
        <w:contextualSpacing/>
        <w:rPr>
          <w:sz w:val="28"/>
          <w:szCs w:val="28"/>
          <w:lang w:val="vi-VN"/>
        </w:rPr>
      </w:pPr>
      <w:r w:rsidRPr="00581499">
        <w:rPr>
          <w:b/>
          <w:bCs/>
          <w:sz w:val="28"/>
          <w:szCs w:val="28"/>
          <w:lang w:val="vi-VN"/>
        </w:rPr>
        <w:t>Điều trị:</w:t>
      </w:r>
      <w:r w:rsidRPr="008B25B4">
        <w:rPr>
          <w:b/>
          <w:bCs/>
          <w:sz w:val="28"/>
          <w:szCs w:val="28"/>
          <w:lang w:val="vi-VN"/>
        </w:rPr>
        <w:t xml:space="preserve"> </w:t>
      </w:r>
      <w:r w:rsidRPr="00581499">
        <w:rPr>
          <w:sz w:val="28"/>
          <w:szCs w:val="28"/>
          <w:lang w:val="vi-VN"/>
        </w:rPr>
        <w:t xml:space="preserve">Việc xác định đúng vị trí khối u tại cổ tử cung cũng như thể giải phẫu bệnh cũng là yếu tố quan trọng để đưa ra chiến lược điều trị. </w:t>
      </w:r>
    </w:p>
    <w:p w:rsidR="00E432FC" w:rsidRPr="00581499" w:rsidRDefault="00E432FC" w:rsidP="00E432FC">
      <w:pPr>
        <w:spacing w:after="0"/>
        <w:contextualSpacing/>
        <w:rPr>
          <w:sz w:val="28"/>
          <w:szCs w:val="28"/>
          <w:lang w:val="vi-VN"/>
        </w:rPr>
      </w:pPr>
      <w:r w:rsidRPr="00581499">
        <w:rPr>
          <w:sz w:val="28"/>
          <w:szCs w:val="28"/>
          <w:lang w:val="vi-VN"/>
        </w:rPr>
        <w:t>Các phương pháp điều trị đối với UTCTC là phẫu thuật, xạ trị và hóa trị. Nhiều nghiên cứu chỉ ra rằng việc kết hợp giữa hóa chất và xạ trị giúp giảm t</w:t>
      </w:r>
      <w:r w:rsidRPr="008B25B4">
        <w:rPr>
          <w:sz w:val="28"/>
          <w:szCs w:val="28"/>
          <w:lang w:val="vi-VN"/>
        </w:rPr>
        <w:t>ỉ</w:t>
      </w:r>
      <w:r w:rsidRPr="00581499">
        <w:rPr>
          <w:sz w:val="28"/>
          <w:szCs w:val="28"/>
          <w:lang w:val="vi-VN"/>
        </w:rPr>
        <w:t xml:space="preserve"> lệ tử vong 30-50%.</w:t>
      </w:r>
    </w:p>
    <w:p w:rsidR="00E432FC" w:rsidRPr="00581499" w:rsidRDefault="00E432FC" w:rsidP="00E432FC">
      <w:pPr>
        <w:spacing w:after="0"/>
        <w:contextualSpacing/>
        <w:rPr>
          <w:b/>
          <w:i/>
          <w:sz w:val="28"/>
          <w:szCs w:val="28"/>
          <w:lang w:val="vi-VN"/>
        </w:rPr>
      </w:pPr>
      <w:r w:rsidRPr="00581499">
        <w:rPr>
          <w:b/>
          <w:i/>
          <w:sz w:val="28"/>
          <w:szCs w:val="28"/>
          <w:lang w:val="vi-VN"/>
        </w:rPr>
        <w:t>Điều trị các trường hợp tiền ung thư và ung thư biểu mô tại chỗ:</w:t>
      </w:r>
    </w:p>
    <w:p w:rsidR="00E432FC" w:rsidRPr="00581499" w:rsidRDefault="00E432FC" w:rsidP="00E432FC">
      <w:pPr>
        <w:spacing w:after="0"/>
        <w:contextualSpacing/>
        <w:rPr>
          <w:b/>
          <w:spacing w:val="2"/>
          <w:sz w:val="28"/>
          <w:szCs w:val="28"/>
          <w:shd w:val="clear" w:color="auto" w:fill="FFFFFF"/>
          <w:lang w:val="vi-VN"/>
        </w:rPr>
      </w:pPr>
      <w:r w:rsidRPr="00581499">
        <w:rPr>
          <w:spacing w:val="2"/>
          <w:sz w:val="28"/>
          <w:szCs w:val="28"/>
          <w:shd w:val="clear" w:color="auto" w:fill="FFFFFF"/>
          <w:lang w:val="vi-VN"/>
        </w:rPr>
        <w:t>Hầu hết các tổn thương tế bào nội biểu mô vẩy độ thấp được phát hiện bằng phiến đồ âm đạo - cổ tử cung sẽ trở lại bình thường mà không cần điều trị. Ngược lại các tổn thương tế bào nội biểu mô vảy độ cao cần phải điều trị. Phương pháp điều trị các tổn thương tiền ung thư bao gồm: sinh thiết nón bằng dao lạnh, khoét chóp cổ tử cung bằng dao vòng điện hoặc bằng laser, áp lạnh…</w:t>
      </w:r>
    </w:p>
    <w:p w:rsidR="00E432FC" w:rsidRPr="008B25B4" w:rsidRDefault="00E432FC" w:rsidP="00E432FC">
      <w:pPr>
        <w:spacing w:after="0"/>
        <w:contextualSpacing/>
        <w:rPr>
          <w:iCs/>
          <w:spacing w:val="3"/>
          <w:sz w:val="28"/>
          <w:szCs w:val="28"/>
          <w:shd w:val="clear" w:color="auto" w:fill="FFFFFF"/>
          <w:lang w:val="vi-VN"/>
        </w:rPr>
      </w:pPr>
      <w:r w:rsidRPr="008B25B4">
        <w:rPr>
          <w:b/>
          <w:i/>
          <w:spacing w:val="3"/>
          <w:sz w:val="28"/>
          <w:szCs w:val="28"/>
          <w:shd w:val="clear" w:color="auto" w:fill="FFFFFF"/>
          <w:lang w:val="vi-VN"/>
        </w:rPr>
        <w:t xml:space="preserve">Phẫu thuật: </w:t>
      </w:r>
      <w:r w:rsidRPr="008B25B4">
        <w:rPr>
          <w:spacing w:val="3"/>
          <w:sz w:val="28"/>
          <w:szCs w:val="28"/>
          <w:shd w:val="clear" w:color="auto" w:fill="FFFFFF"/>
          <w:lang w:val="vi-VN"/>
        </w:rPr>
        <w:t>Tùy theo</w:t>
      </w:r>
      <w:r w:rsidRPr="008B25B4">
        <w:rPr>
          <w:iCs/>
          <w:spacing w:val="3"/>
          <w:sz w:val="28"/>
          <w:szCs w:val="28"/>
          <w:shd w:val="clear" w:color="auto" w:fill="FFFFFF"/>
          <w:lang w:val="vi-VN"/>
        </w:rPr>
        <w:t xml:space="preserve"> mức độ và giai đoạn của bệnh có thể sử dụng các phương pháp: (1) Khoét chóp cổ tử cung bằng dao vòng điện hoặc bằng laser. (2) Áp lạnh. (3) Cắt bỏ toàn bộ tử cung và cổ tử cung qua âm đạo. (4) Cắt bỏ tử cung </w:t>
      </w:r>
      <w:r w:rsidRPr="008B25B4">
        <w:rPr>
          <w:iCs/>
          <w:spacing w:val="3"/>
          <w:sz w:val="28"/>
          <w:szCs w:val="28"/>
          <w:shd w:val="clear" w:color="auto" w:fill="FFFFFF"/>
          <w:lang w:val="vi-VN"/>
        </w:rPr>
        <w:lastRenderedPageBreak/>
        <w:t>và cổ tử cung qua thành bụng. (5) Cắt bỏ buồng trứng 2 bên. (6) Cắt triệt để: cắt toàn bộ tử cung, một phần âm đạo, buồng trứng, ống dẫn trứng 2 bên và nạo vét hạch bạch huyết. (7) Cắt toàn bộ mở rộng:  cắt toàn bổ tử cung, một phần âm đạo, buồng trứng, ống dẫn trứng 2 bên, trực tràng, đại tràng thấp, bàng quang và nạo vét hạch bạch huyết, làm hậu môn dân tạo, dẫn lưu nước tiểu ra ngoài, tạo hình âm đạo.</w:t>
      </w:r>
    </w:p>
    <w:p w:rsidR="00E432FC" w:rsidRPr="00581499" w:rsidRDefault="00E432FC" w:rsidP="00E432FC">
      <w:pPr>
        <w:spacing w:after="0"/>
        <w:contextualSpacing/>
        <w:rPr>
          <w:spacing w:val="3"/>
          <w:sz w:val="28"/>
          <w:szCs w:val="28"/>
          <w:shd w:val="clear" w:color="auto" w:fill="FFFFFF"/>
          <w:lang w:val="vi-VN"/>
        </w:rPr>
      </w:pPr>
      <w:r w:rsidRPr="008B25B4">
        <w:rPr>
          <w:b/>
          <w:i/>
          <w:spacing w:val="3"/>
          <w:sz w:val="28"/>
          <w:szCs w:val="28"/>
          <w:shd w:val="clear" w:color="auto" w:fill="FFFFFF"/>
          <w:lang w:val="vi-VN"/>
        </w:rPr>
        <w:t>Xạ trị</w:t>
      </w:r>
      <w:r w:rsidRPr="008B25B4">
        <w:rPr>
          <w:spacing w:val="3"/>
          <w:sz w:val="28"/>
          <w:szCs w:val="28"/>
          <w:shd w:val="clear" w:color="auto" w:fill="FFFFFF"/>
          <w:lang w:val="vi-VN"/>
        </w:rPr>
        <w:t>: xạ trị chiếu ngoài sử dụng tia X năng lượng cao để tiêu diệt các tế bào ung thư. Hay xạ trị áp sát, đưa nguồn phóng xạ qua đường âm đạo đặt vào cổ tử cung trong một thời gian nhất định</w:t>
      </w:r>
      <w:r w:rsidRPr="00581499">
        <w:rPr>
          <w:spacing w:val="3"/>
          <w:sz w:val="28"/>
          <w:szCs w:val="28"/>
          <w:shd w:val="clear" w:color="auto" w:fill="FFFFFF"/>
          <w:lang w:val="vi-VN"/>
        </w:rPr>
        <w:t>.</w:t>
      </w:r>
    </w:p>
    <w:p w:rsidR="00E432FC" w:rsidRPr="00581499" w:rsidRDefault="00E432FC" w:rsidP="00E432FC">
      <w:pPr>
        <w:spacing w:after="0"/>
        <w:contextualSpacing/>
        <w:rPr>
          <w:spacing w:val="3"/>
          <w:sz w:val="28"/>
          <w:szCs w:val="28"/>
          <w:shd w:val="clear" w:color="auto" w:fill="FFFFFF"/>
          <w:lang w:val="vi-VN"/>
        </w:rPr>
      </w:pPr>
      <w:r w:rsidRPr="00581499">
        <w:rPr>
          <w:spacing w:val="3"/>
          <w:sz w:val="28"/>
          <w:szCs w:val="28"/>
          <w:shd w:val="clear" w:color="auto" w:fill="FFFFFF"/>
          <w:lang w:val="vi-VN"/>
        </w:rPr>
        <w:t>Tác dụng phụ của xạ trị: phản ứng da tạ</w:t>
      </w:r>
      <w:r w:rsidRPr="008B25B4">
        <w:rPr>
          <w:spacing w:val="3"/>
          <w:sz w:val="28"/>
          <w:szCs w:val="28"/>
          <w:shd w:val="clear" w:color="auto" w:fill="FFFFFF"/>
          <w:lang w:val="vi-VN"/>
        </w:rPr>
        <w:t>i</w:t>
      </w:r>
      <w:r w:rsidRPr="00581499">
        <w:rPr>
          <w:spacing w:val="3"/>
          <w:sz w:val="28"/>
          <w:szCs w:val="28"/>
          <w:shd w:val="clear" w:color="auto" w:fill="FFFFFF"/>
          <w:lang w:val="vi-VN"/>
        </w:rPr>
        <w:t xml:space="preserve"> vùng điều trị, mệt mỏi, đau dạ dày, đi lỏng, hẹp lòng âm đạo, mãn kinh sớm, rối loạn tiểu tiện… </w:t>
      </w:r>
    </w:p>
    <w:p w:rsidR="00E432FC" w:rsidRPr="00581499" w:rsidRDefault="00E432FC" w:rsidP="00E432FC">
      <w:pPr>
        <w:spacing w:after="0"/>
        <w:contextualSpacing/>
        <w:rPr>
          <w:spacing w:val="3"/>
          <w:sz w:val="28"/>
          <w:szCs w:val="28"/>
          <w:shd w:val="clear" w:color="auto" w:fill="FFFFFF"/>
          <w:lang w:val="vi-VN"/>
        </w:rPr>
      </w:pPr>
      <w:r w:rsidRPr="00581499">
        <w:rPr>
          <w:b/>
          <w:i/>
          <w:spacing w:val="3"/>
          <w:sz w:val="28"/>
          <w:szCs w:val="28"/>
          <w:shd w:val="clear" w:color="auto" w:fill="FFFFFF"/>
          <w:lang w:val="vi-VN"/>
        </w:rPr>
        <w:t>Hóa trị</w:t>
      </w:r>
      <w:r w:rsidRPr="008B25B4">
        <w:rPr>
          <w:spacing w:val="3"/>
          <w:sz w:val="28"/>
          <w:szCs w:val="28"/>
          <w:shd w:val="clear" w:color="auto" w:fill="FFFFFF"/>
          <w:lang w:val="vi-VN"/>
        </w:rPr>
        <w:t xml:space="preserve">: </w:t>
      </w:r>
      <w:r w:rsidRPr="00581499">
        <w:rPr>
          <w:spacing w:val="3"/>
          <w:sz w:val="28"/>
          <w:szCs w:val="28"/>
          <w:shd w:val="clear" w:color="auto" w:fill="FFFFFF"/>
          <w:lang w:val="vi-VN"/>
        </w:rPr>
        <w:t>Sử dụng một hoặc nhiều hóa chất để tiêu diệt khối u giúp cản trở sự xâm lấn ra xung quanh. Các hóa chất thường được sử dụng cho UTCTC bao gồm: Cisplatin, 5-fluorouracil, Ifosfamide, Paclitaxel, Topotecan. Đường dùng: uống hoặc tiêm truyền tĩnh mạch.</w:t>
      </w:r>
    </w:p>
    <w:p w:rsidR="00E432FC" w:rsidRPr="00581499" w:rsidRDefault="00E432FC" w:rsidP="00E432FC">
      <w:pPr>
        <w:spacing w:after="0"/>
        <w:contextualSpacing/>
        <w:rPr>
          <w:spacing w:val="3"/>
          <w:sz w:val="28"/>
          <w:szCs w:val="28"/>
          <w:shd w:val="clear" w:color="auto" w:fill="FFFFFF"/>
          <w:lang w:val="vi-VN"/>
        </w:rPr>
      </w:pPr>
      <w:r w:rsidRPr="00581499">
        <w:rPr>
          <w:spacing w:val="3"/>
          <w:sz w:val="28"/>
          <w:szCs w:val="28"/>
          <w:shd w:val="clear" w:color="auto" w:fill="FFFFFF"/>
          <w:lang w:val="vi-VN"/>
        </w:rPr>
        <w:t>Các tác dụng phụ của hóa trị thường gặp bao gồm: Buồn nôn, nôn, mệt mỏi, rối loạn vị giác, loét miệng, âm đạo, rụng tóc, rối loạn kinh nguyệt, mãn kinh sớm, chảy máu âm đạo…</w:t>
      </w:r>
    </w:p>
    <w:p w:rsidR="00E432FC" w:rsidRPr="00581499" w:rsidRDefault="00E432FC" w:rsidP="00E432FC">
      <w:pPr>
        <w:spacing w:after="0"/>
        <w:contextualSpacing/>
        <w:rPr>
          <w:bCs/>
          <w:spacing w:val="3"/>
          <w:sz w:val="28"/>
          <w:szCs w:val="28"/>
          <w:shd w:val="clear" w:color="auto" w:fill="FFFFFF"/>
          <w:lang w:val="vi-VN"/>
        </w:rPr>
      </w:pPr>
      <w:r w:rsidRPr="00581499">
        <w:rPr>
          <w:b/>
          <w:i/>
          <w:spacing w:val="3"/>
          <w:sz w:val="28"/>
          <w:szCs w:val="28"/>
          <w:shd w:val="clear" w:color="auto" w:fill="FFFFFF"/>
          <w:lang w:val="vi-VN"/>
        </w:rPr>
        <w:t>Điều trị đích và điều trị miễn dịch</w:t>
      </w:r>
      <w:r w:rsidRPr="008B25B4">
        <w:rPr>
          <w:bCs/>
          <w:spacing w:val="3"/>
          <w:sz w:val="28"/>
          <w:szCs w:val="28"/>
          <w:shd w:val="clear" w:color="auto" w:fill="FFFFFF"/>
          <w:lang w:val="vi-VN"/>
        </w:rPr>
        <w:t xml:space="preserve">: </w:t>
      </w:r>
      <w:r w:rsidRPr="00581499">
        <w:rPr>
          <w:bCs/>
          <w:spacing w:val="3"/>
          <w:sz w:val="28"/>
          <w:szCs w:val="28"/>
          <w:shd w:val="clear" w:color="auto" w:fill="FFFFFF"/>
          <w:lang w:val="vi-VN"/>
        </w:rPr>
        <w:t>Các thuốc Bevacizumab, Pembrolizumab dùng trong điều trị UTCTC đem lại hiệu quả điều trị cao trong trường hợp tái phát, tiến triển hoặc di căn.</w:t>
      </w:r>
    </w:p>
    <w:p w:rsidR="00E432FC" w:rsidRPr="00581499" w:rsidRDefault="00E432FC" w:rsidP="00E432FC">
      <w:pPr>
        <w:spacing w:after="0"/>
        <w:contextualSpacing/>
        <w:rPr>
          <w:spacing w:val="3"/>
          <w:sz w:val="28"/>
          <w:szCs w:val="28"/>
          <w:shd w:val="clear" w:color="auto" w:fill="FFFFFF"/>
          <w:lang w:val="vi-VN"/>
        </w:rPr>
      </w:pPr>
      <w:r w:rsidRPr="00581499">
        <w:rPr>
          <w:b/>
          <w:bCs/>
          <w:sz w:val="28"/>
          <w:szCs w:val="28"/>
          <w:lang w:val="vi-VN"/>
        </w:rPr>
        <w:t>Tiên lượng</w:t>
      </w:r>
      <w:r w:rsidRPr="008B25B4">
        <w:rPr>
          <w:b/>
          <w:bCs/>
          <w:sz w:val="28"/>
          <w:szCs w:val="28"/>
          <w:lang w:val="vi-VN"/>
        </w:rPr>
        <w:t xml:space="preserve">: </w:t>
      </w:r>
      <w:r w:rsidRPr="00581499">
        <w:rPr>
          <w:spacing w:val="3"/>
          <w:sz w:val="28"/>
          <w:szCs w:val="28"/>
          <w:shd w:val="clear" w:color="auto" w:fill="FFFFFF"/>
          <w:lang w:val="vi-VN"/>
        </w:rPr>
        <w:t>Đối với UTCTC được chẩn đoán ở giai đoạn tiền xâm lấn, t</w:t>
      </w:r>
      <w:r w:rsidRPr="008B25B4">
        <w:rPr>
          <w:spacing w:val="3"/>
          <w:sz w:val="28"/>
          <w:szCs w:val="28"/>
          <w:shd w:val="clear" w:color="auto" w:fill="FFFFFF"/>
          <w:lang w:val="vi-VN"/>
        </w:rPr>
        <w:t>ỉ</w:t>
      </w:r>
      <w:r w:rsidRPr="00581499">
        <w:rPr>
          <w:spacing w:val="3"/>
          <w:sz w:val="28"/>
          <w:szCs w:val="28"/>
          <w:shd w:val="clear" w:color="auto" w:fill="FFFFFF"/>
          <w:lang w:val="vi-VN"/>
        </w:rPr>
        <w:t xml:space="preserve"> lệ sống sót sau </w:t>
      </w:r>
      <w:r w:rsidRPr="008B25B4">
        <w:rPr>
          <w:spacing w:val="3"/>
          <w:sz w:val="28"/>
          <w:szCs w:val="28"/>
          <w:shd w:val="clear" w:color="auto" w:fill="FFFFFF"/>
          <w:lang w:val="vi-VN"/>
        </w:rPr>
        <w:t>5</w:t>
      </w:r>
      <w:r w:rsidRPr="00581499">
        <w:rPr>
          <w:spacing w:val="3"/>
          <w:sz w:val="28"/>
          <w:szCs w:val="28"/>
          <w:shd w:val="clear" w:color="auto" w:fill="FFFFFF"/>
          <w:lang w:val="vi-VN"/>
        </w:rPr>
        <w:t xml:space="preserve"> năm là gần như 100%. Khi UTCTC được phát hiện ở giai đoạn xâm lấn sớm, tỉ lệ sống còn sau 5 năm là khoảng 91%. UTCTC giai đoạn IV</w:t>
      </w:r>
      <w:r w:rsidRPr="008B25B4">
        <w:rPr>
          <w:spacing w:val="3"/>
          <w:sz w:val="28"/>
          <w:szCs w:val="28"/>
          <w:shd w:val="clear" w:color="auto" w:fill="FFFFFF"/>
          <w:lang w:val="vi-VN"/>
        </w:rPr>
        <w:t>-</w:t>
      </w:r>
      <w:r w:rsidRPr="00581499">
        <w:rPr>
          <w:spacing w:val="3"/>
          <w:sz w:val="28"/>
          <w:szCs w:val="28"/>
          <w:shd w:val="clear" w:color="auto" w:fill="FFFFFF"/>
          <w:lang w:val="vi-VN"/>
        </w:rPr>
        <w:t>B không thể chữa khỏi hoàn toàn. T</w:t>
      </w:r>
      <w:r w:rsidRPr="008B25B4">
        <w:rPr>
          <w:spacing w:val="3"/>
          <w:sz w:val="28"/>
          <w:szCs w:val="28"/>
          <w:shd w:val="clear" w:color="auto" w:fill="FFFFFF"/>
          <w:lang w:val="vi-VN"/>
        </w:rPr>
        <w:t>ỉ</w:t>
      </w:r>
      <w:r w:rsidRPr="00581499">
        <w:rPr>
          <w:spacing w:val="3"/>
          <w:sz w:val="28"/>
          <w:szCs w:val="28"/>
          <w:shd w:val="clear" w:color="auto" w:fill="FFFFFF"/>
          <w:lang w:val="vi-VN"/>
        </w:rPr>
        <w:t xml:space="preserve"> lệ sống sót sau năm năm đối với UTCTC nói chung là khoảng 70%. </w:t>
      </w:r>
    </w:p>
    <w:p w:rsidR="00E432FC" w:rsidRPr="00581499" w:rsidRDefault="00E432FC" w:rsidP="00E432FC">
      <w:pPr>
        <w:spacing w:after="0"/>
        <w:contextualSpacing/>
        <w:rPr>
          <w:sz w:val="28"/>
          <w:szCs w:val="28"/>
          <w:lang w:val="vi-VN"/>
        </w:rPr>
      </w:pPr>
      <w:r w:rsidRPr="00581499">
        <w:rPr>
          <w:b/>
          <w:bCs/>
          <w:sz w:val="28"/>
          <w:szCs w:val="28"/>
          <w:lang w:val="vi-VN"/>
        </w:rPr>
        <w:t>Phòng ngừa</w:t>
      </w:r>
      <w:r w:rsidRPr="008B25B4">
        <w:rPr>
          <w:b/>
          <w:bCs/>
          <w:sz w:val="28"/>
          <w:szCs w:val="28"/>
          <w:lang w:val="vi-VN"/>
        </w:rPr>
        <w:t xml:space="preserve">: </w:t>
      </w:r>
      <w:r w:rsidRPr="008B25B4">
        <w:rPr>
          <w:sz w:val="28"/>
          <w:szCs w:val="28"/>
          <w:lang w:val="vi-VN"/>
        </w:rPr>
        <w:t>(1)</w:t>
      </w:r>
      <w:r w:rsidRPr="00581499">
        <w:rPr>
          <w:sz w:val="28"/>
          <w:szCs w:val="28"/>
          <w:lang w:val="vi-VN"/>
        </w:rPr>
        <w:t xml:space="preserve"> Tránh các yếu tố nguy cơ</w:t>
      </w:r>
      <w:r w:rsidRPr="008B25B4">
        <w:rPr>
          <w:sz w:val="28"/>
          <w:szCs w:val="28"/>
          <w:lang w:val="vi-VN"/>
        </w:rPr>
        <w:t>; (2)</w:t>
      </w:r>
      <w:r w:rsidRPr="00581499">
        <w:rPr>
          <w:sz w:val="28"/>
          <w:szCs w:val="28"/>
          <w:lang w:val="vi-VN"/>
        </w:rPr>
        <w:t xml:space="preserve"> Tiêm chủng </w:t>
      </w:r>
      <w:r>
        <w:rPr>
          <w:sz w:val="28"/>
          <w:szCs w:val="28"/>
          <w:lang w:val="vi-VN"/>
        </w:rPr>
        <w:t>vaccine</w:t>
      </w:r>
      <w:r w:rsidRPr="008B25B4">
        <w:rPr>
          <w:sz w:val="28"/>
          <w:szCs w:val="28"/>
          <w:lang w:val="vi-VN"/>
        </w:rPr>
        <w:t>; (3)</w:t>
      </w:r>
      <w:r w:rsidRPr="00581499">
        <w:rPr>
          <w:sz w:val="28"/>
          <w:szCs w:val="28"/>
          <w:lang w:val="vi-VN"/>
        </w:rPr>
        <w:t xml:space="preserve"> Tầm soát sớm UTCTC bằng xét nghiệm Pap</w:t>
      </w:r>
      <w:r w:rsidRPr="008B25B4">
        <w:rPr>
          <w:sz w:val="28"/>
          <w:szCs w:val="28"/>
          <w:lang w:val="vi-VN"/>
        </w:rPr>
        <w:t>; (4)</w:t>
      </w:r>
      <w:r w:rsidRPr="00581499">
        <w:rPr>
          <w:sz w:val="28"/>
          <w:szCs w:val="28"/>
          <w:lang w:val="vi-VN"/>
        </w:rPr>
        <w:t xml:space="preserve"> Dự phòng nhiễm HIV.</w:t>
      </w:r>
    </w:p>
    <w:p w:rsidR="00E432FC" w:rsidRPr="00581499" w:rsidRDefault="00E432FC" w:rsidP="00E432FC">
      <w:pPr>
        <w:spacing w:after="0"/>
        <w:contextualSpacing/>
        <w:rPr>
          <w:b/>
          <w:bCs/>
          <w:sz w:val="28"/>
          <w:szCs w:val="28"/>
          <w:lang w:val="vi-VN"/>
        </w:rPr>
      </w:pPr>
    </w:p>
    <w:p w:rsidR="00E432FC" w:rsidRPr="00581499" w:rsidRDefault="00E432FC" w:rsidP="00E432FC">
      <w:pPr>
        <w:tabs>
          <w:tab w:val="left" w:pos="1080"/>
        </w:tabs>
        <w:spacing w:before="120" w:after="0" w:line="276" w:lineRule="auto"/>
        <w:ind w:firstLine="567"/>
        <w:contextualSpacing/>
        <w:jc w:val="right"/>
        <w:rPr>
          <w:rFonts w:eastAsia="Calibri"/>
          <w:b/>
          <w:sz w:val="22"/>
          <w:szCs w:val="22"/>
          <w:lang w:val="es-ES"/>
        </w:rPr>
      </w:pPr>
      <w:r w:rsidRPr="003655A5">
        <w:rPr>
          <w:rFonts w:eastAsia="Calibri"/>
          <w:b/>
          <w:sz w:val="20"/>
          <w:szCs w:val="20"/>
          <w:lang w:val="es-ES"/>
        </w:rPr>
        <w:t>NGUYỄN VĂN BA</w:t>
      </w:r>
    </w:p>
    <w:p w:rsidR="00E432FC" w:rsidRPr="00581499" w:rsidRDefault="00E432FC" w:rsidP="00E432FC">
      <w:pPr>
        <w:tabs>
          <w:tab w:val="left" w:pos="1080"/>
        </w:tabs>
        <w:spacing w:after="0" w:line="276" w:lineRule="auto"/>
        <w:contextualSpacing/>
        <w:rPr>
          <w:rFonts w:eastAsia="Calibri"/>
          <w:b/>
          <w:lang w:val="es-ES"/>
        </w:rPr>
      </w:pPr>
      <w:r w:rsidRPr="00581499">
        <w:rPr>
          <w:rFonts w:eastAsia="Calibri"/>
          <w:b/>
          <w:lang w:val="es-ES"/>
        </w:rPr>
        <w:lastRenderedPageBreak/>
        <w:t>Tài liệu tham khảo</w:t>
      </w:r>
    </w:p>
    <w:p w:rsidR="00E432FC" w:rsidRPr="00581499" w:rsidRDefault="00E432FC" w:rsidP="00E432FC">
      <w:pPr>
        <w:tabs>
          <w:tab w:val="left" w:pos="993"/>
        </w:tabs>
        <w:spacing w:after="0" w:line="276" w:lineRule="auto"/>
        <w:contextualSpacing/>
      </w:pPr>
      <w:r w:rsidRPr="00581499">
        <w:t>1. Dizon, Don S</w:t>
      </w:r>
      <w:r w:rsidRPr="00581499">
        <w:rPr>
          <w:lang w:val="vi-VN"/>
        </w:rPr>
        <w:t>,</w:t>
      </w:r>
      <w:r w:rsidRPr="00581499">
        <w:rPr>
          <w:i/>
        </w:rPr>
        <w:t>100 Questions &amp; Answers About Cervical Cancer</w:t>
      </w:r>
      <w:r w:rsidRPr="00581499">
        <w:rPr>
          <w:i/>
          <w:lang w:val="vi-VN"/>
        </w:rPr>
        <w:t xml:space="preserve">, </w:t>
      </w:r>
      <w:r w:rsidRPr="00581499">
        <w:t>Sudbury, MA: Jones and Bartlett, 2009.</w:t>
      </w:r>
    </w:p>
    <w:p w:rsidR="00E432FC" w:rsidRPr="00581499" w:rsidRDefault="00E432FC" w:rsidP="00E432FC">
      <w:pPr>
        <w:tabs>
          <w:tab w:val="left" w:pos="993"/>
        </w:tabs>
        <w:spacing w:after="0" w:line="276" w:lineRule="auto"/>
        <w:contextualSpacing/>
      </w:pPr>
      <w:r w:rsidRPr="00581499">
        <w:t>2. Markovic, Nenad, and Olivera Markovic</w:t>
      </w:r>
      <w:r w:rsidRPr="00581499">
        <w:rPr>
          <w:lang w:val="vi-VN"/>
        </w:rPr>
        <w:t>,</w:t>
      </w:r>
      <w:r w:rsidRPr="00581499">
        <w:t xml:space="preserve"> </w:t>
      </w:r>
      <w:r w:rsidRPr="00581499">
        <w:rPr>
          <w:i/>
        </w:rPr>
        <w:t>What Every Woman Should Know About Cervical Cancer</w:t>
      </w:r>
      <w:r w:rsidRPr="00581499">
        <w:rPr>
          <w:lang w:val="vi-VN"/>
        </w:rPr>
        <w:t xml:space="preserve">, </w:t>
      </w:r>
      <w:r w:rsidRPr="00581499">
        <w:t>New York: Sipringer, 2009</w:t>
      </w:r>
    </w:p>
    <w:p w:rsidR="00E432FC" w:rsidRPr="00581499" w:rsidRDefault="00E432FC" w:rsidP="00E432FC">
      <w:pPr>
        <w:tabs>
          <w:tab w:val="left" w:pos="993"/>
        </w:tabs>
        <w:spacing w:after="0" w:line="276" w:lineRule="auto"/>
        <w:contextualSpacing/>
      </w:pPr>
      <w:r w:rsidRPr="00581499">
        <w:t>3. Spencer.</w:t>
      </w:r>
      <w:r w:rsidRPr="00581499">
        <w:rPr>
          <w:spacing w:val="-10"/>
        </w:rPr>
        <w:t xml:space="preserve"> </w:t>
      </w:r>
      <w:r w:rsidRPr="00581499">
        <w:t>Juliet</w:t>
      </w:r>
      <w:r w:rsidRPr="00581499">
        <w:rPr>
          <w:spacing w:val="-12"/>
        </w:rPr>
        <w:t xml:space="preserve"> </w:t>
      </w:r>
      <w:r w:rsidRPr="00581499">
        <w:t>V</w:t>
      </w:r>
      <w:r w:rsidRPr="00581499">
        <w:rPr>
          <w:lang w:val="vi-VN"/>
        </w:rPr>
        <w:t>,</w:t>
      </w:r>
      <w:r w:rsidRPr="00581499">
        <w:rPr>
          <w:spacing w:val="-12"/>
        </w:rPr>
        <w:t xml:space="preserve"> </w:t>
      </w:r>
      <w:r w:rsidRPr="00581499">
        <w:rPr>
          <w:i/>
        </w:rPr>
        <w:t>Cervical Cancer</w:t>
      </w:r>
      <w:r w:rsidRPr="00581499">
        <w:rPr>
          <w:lang w:val="vi-VN"/>
        </w:rPr>
        <w:t>,</w:t>
      </w:r>
      <w:r w:rsidRPr="00581499">
        <w:rPr>
          <w:spacing w:val="-5"/>
        </w:rPr>
        <w:t xml:space="preserve"> </w:t>
      </w:r>
      <w:r w:rsidRPr="00581499">
        <w:t>New</w:t>
      </w:r>
      <w:r w:rsidRPr="00581499">
        <w:rPr>
          <w:spacing w:val="-13"/>
        </w:rPr>
        <w:t xml:space="preserve"> </w:t>
      </w:r>
      <w:r w:rsidRPr="00581499">
        <w:t>York:</w:t>
      </w:r>
      <w:r w:rsidRPr="00581499">
        <w:rPr>
          <w:spacing w:val="-10"/>
        </w:rPr>
        <w:t xml:space="preserve"> </w:t>
      </w:r>
      <w:r w:rsidRPr="00581499">
        <w:t>Chelsea House,</w:t>
      </w:r>
      <w:r w:rsidRPr="00581499">
        <w:rPr>
          <w:spacing w:val="14"/>
        </w:rPr>
        <w:t xml:space="preserve"> </w:t>
      </w:r>
      <w:r w:rsidRPr="00581499">
        <w:t>2007.</w:t>
      </w:r>
    </w:p>
    <w:p w:rsidR="00E432FC" w:rsidRPr="00581499" w:rsidRDefault="00E432FC" w:rsidP="00E432FC">
      <w:pPr>
        <w:tabs>
          <w:tab w:val="left" w:pos="993"/>
        </w:tabs>
        <w:spacing w:after="0" w:line="276" w:lineRule="auto"/>
        <w:contextualSpacing/>
      </w:pPr>
      <w:r w:rsidRPr="00581499">
        <w:t>4. MedilinePlus</w:t>
      </w:r>
      <w:r w:rsidRPr="00581499">
        <w:rPr>
          <w:lang w:val="vi-VN"/>
        </w:rPr>
        <w:t>,</w:t>
      </w:r>
      <w:r w:rsidRPr="00581499">
        <w:t xml:space="preserve"> </w:t>
      </w:r>
      <w:r w:rsidRPr="00581499">
        <w:rPr>
          <w:i/>
        </w:rPr>
        <w:t>Cervical Cancer</w:t>
      </w:r>
      <w:r w:rsidRPr="00581499">
        <w:rPr>
          <w:lang w:val="vi-VN"/>
        </w:rPr>
        <w:t>,</w:t>
      </w:r>
      <w:r w:rsidRPr="00581499">
        <w:t xml:space="preserve"> United States National Library of Medicine</w:t>
      </w:r>
      <w:r w:rsidRPr="00581499">
        <w:rPr>
          <w:lang w:val="vi-VN"/>
        </w:rPr>
        <w:t>,</w:t>
      </w:r>
      <w:r w:rsidRPr="00581499">
        <w:t xml:space="preserve"> Junc 2, 2009. </w:t>
      </w:r>
      <w:hyperlink r:id="rId5" w:history="1">
        <w:r w:rsidRPr="00581499">
          <w:rPr>
            <w:rStyle w:val="Hyperlink"/>
            <w:rFonts w:eastAsiaTheme="majorEastAsia"/>
            <w:color w:val="auto"/>
          </w:rPr>
          <w:t>http://www.nlm.nih.gov/medlineplus/cervicalcancer.html</w:t>
        </w:r>
      </w:hyperlink>
      <w:r w:rsidRPr="00581499">
        <w:t xml:space="preserve"> (accessed November 20, 2014).</w:t>
      </w:r>
    </w:p>
    <w:p w:rsidR="00E432FC" w:rsidRPr="00581499" w:rsidRDefault="00E432FC" w:rsidP="00E432FC">
      <w:pPr>
        <w:tabs>
          <w:tab w:val="left" w:pos="993"/>
        </w:tabs>
        <w:spacing w:after="0" w:line="276" w:lineRule="auto"/>
        <w:contextualSpacing/>
        <w:rPr>
          <w:b/>
        </w:rPr>
      </w:pPr>
      <w:r w:rsidRPr="00581499">
        <w:rPr>
          <w:w w:val="105"/>
        </w:rPr>
        <w:t>5. American Cancer Society, 1599 Clifton Rd ., NE, Atlanta, GA, 30329, (404) 320-3333, (800) ACS-2345, http://www.cancer.org.</w:t>
      </w:r>
    </w:p>
    <w:p w:rsidR="00E432FC" w:rsidRPr="00581499" w:rsidRDefault="00E432FC" w:rsidP="00E432FC">
      <w:pPr>
        <w:tabs>
          <w:tab w:val="left" w:pos="993"/>
        </w:tabs>
        <w:spacing w:after="0" w:line="276" w:lineRule="auto"/>
        <w:contextualSpacing/>
        <w:rPr>
          <w:b/>
        </w:rPr>
      </w:pPr>
      <w:r w:rsidRPr="00581499">
        <w:rPr>
          <w:w w:val="105"/>
        </w:rPr>
        <w:t>6. American Social Health Association. National HPV and Cervical Cancer Prevention Resource Center, PO</w:t>
      </w:r>
      <w:r w:rsidRPr="00581499">
        <w:rPr>
          <w:b/>
        </w:rPr>
        <w:t xml:space="preserve"> </w:t>
      </w:r>
      <w:r w:rsidRPr="00581499">
        <w:rPr>
          <w:w w:val="105"/>
        </w:rPr>
        <w:t>Box 13827, Research Triangle Park, NC,  27709,  (919)</w:t>
      </w:r>
      <w:r w:rsidRPr="00581499">
        <w:rPr>
          <w:b/>
        </w:rPr>
        <w:t xml:space="preserve"> </w:t>
      </w:r>
      <w:r w:rsidRPr="00581499">
        <w:t>361—8400,</w:t>
      </w:r>
      <w:r w:rsidRPr="00581499">
        <w:rPr>
          <w:spacing w:val="-12"/>
        </w:rPr>
        <w:t xml:space="preserve"> </w:t>
      </w:r>
      <w:r w:rsidRPr="00581499">
        <w:t>(800)</w:t>
      </w:r>
      <w:r w:rsidRPr="00581499">
        <w:rPr>
          <w:spacing w:val="-19"/>
        </w:rPr>
        <w:t xml:space="preserve"> </w:t>
      </w:r>
      <w:r w:rsidRPr="00581499">
        <w:t>227—8922,</w:t>
      </w:r>
      <w:r w:rsidRPr="00581499">
        <w:rPr>
          <w:spacing w:val="-9"/>
        </w:rPr>
        <w:t xml:space="preserve"> </w:t>
      </w:r>
      <w:r w:rsidRPr="00581499">
        <w:t>Fax:</w:t>
      </w:r>
      <w:r w:rsidRPr="00581499">
        <w:rPr>
          <w:spacing w:val="-19"/>
        </w:rPr>
        <w:t xml:space="preserve"> </w:t>
      </w:r>
      <w:r w:rsidRPr="00581499">
        <w:t>(919)</w:t>
      </w:r>
      <w:r w:rsidRPr="00581499">
        <w:rPr>
          <w:spacing w:val="-17"/>
        </w:rPr>
        <w:t xml:space="preserve"> </w:t>
      </w:r>
      <w:r w:rsidRPr="00581499">
        <w:t>361—8425,</w:t>
      </w:r>
      <w:r w:rsidRPr="00581499">
        <w:rPr>
          <w:spacing w:val="-14"/>
        </w:rPr>
        <w:t xml:space="preserve"> </w:t>
      </w:r>
      <w:r w:rsidRPr="00581499">
        <w:t>http:/,www. ashiistd .org,/hpvccrc.</w:t>
      </w:r>
    </w:p>
    <w:p w:rsidR="00E432FC" w:rsidRPr="00581499" w:rsidRDefault="00E432FC" w:rsidP="00E432FC">
      <w:pPr>
        <w:tabs>
          <w:tab w:val="left" w:pos="993"/>
        </w:tabs>
        <w:spacing w:after="0" w:line="276" w:lineRule="auto"/>
        <w:contextualSpacing/>
        <w:rPr>
          <w:b/>
        </w:rPr>
      </w:pPr>
      <w:r w:rsidRPr="00581499">
        <w:t>7. Cancer Research and Prevention Foundation, 1600 Duke Street, Suite 500, Alexandria, VA, 22314, (703) 836—441 2, (800) 227-2732, info(rr. prevcntca nccr.org, h ttp:/</w:t>
      </w:r>
      <w:hyperlink r:id="rId6">
        <w:r w:rsidRPr="00581499">
          <w:t>www.prcvcntcanccr.org.</w:t>
        </w:r>
      </w:hyperlink>
    </w:p>
    <w:p w:rsidR="00E432FC" w:rsidRPr="00581499" w:rsidRDefault="00E432FC" w:rsidP="00E432FC">
      <w:pPr>
        <w:tabs>
          <w:tab w:val="left" w:pos="993"/>
        </w:tabs>
        <w:spacing w:after="0" w:line="276" w:lineRule="auto"/>
        <w:contextualSpacing/>
        <w:rPr>
          <w:b/>
        </w:rPr>
      </w:pPr>
      <w:r w:rsidRPr="00581499">
        <w:t xml:space="preserve">8. Gynccologic Cancer €oundation, 230 W.  </w:t>
      </w:r>
      <w:r w:rsidRPr="00581499">
        <w:rPr>
          <w:spacing w:val="4"/>
        </w:rPr>
        <w:t xml:space="preserve">Monroe,  </w:t>
      </w:r>
      <w:r w:rsidRPr="00581499">
        <w:t xml:space="preserve">Suite 2528, Chicago, I L, 60606, (312) 578—1439, (500) 444—4441, I ax: (312) 578-9769, info(n thcgcf.org, http:// </w:t>
      </w:r>
      <w:hyperlink r:id="rId7">
        <w:r w:rsidRPr="00581499">
          <w:t>www.wcn.org,*gcf.</w:t>
        </w:r>
      </w:hyperlink>
    </w:p>
    <w:p w:rsidR="00E432FC" w:rsidRPr="00581499" w:rsidRDefault="00E432FC" w:rsidP="00E432FC">
      <w:pPr>
        <w:tabs>
          <w:tab w:val="left" w:pos="993"/>
        </w:tabs>
        <w:spacing w:after="0" w:line="276" w:lineRule="auto"/>
        <w:contextualSpacing/>
        <w:rPr>
          <w:b/>
        </w:rPr>
      </w:pPr>
      <w:r w:rsidRPr="00581499">
        <w:rPr>
          <w:w w:val="105"/>
        </w:rPr>
        <w:t>9. National Cancer Institute, NH Public Inquiries Office, 6116 Executive</w:t>
      </w:r>
      <w:r w:rsidRPr="00581499">
        <w:rPr>
          <w:spacing w:val="-1"/>
          <w:w w:val="105"/>
        </w:rPr>
        <w:t xml:space="preserve"> </w:t>
      </w:r>
      <w:r w:rsidRPr="00581499">
        <w:rPr>
          <w:w w:val="105"/>
        </w:rPr>
        <w:t>Blvd.,</w:t>
      </w:r>
      <w:r w:rsidRPr="00581499">
        <w:rPr>
          <w:spacing w:val="-2"/>
          <w:w w:val="105"/>
        </w:rPr>
        <w:t xml:space="preserve"> </w:t>
      </w:r>
      <w:r w:rsidRPr="00581499">
        <w:rPr>
          <w:w w:val="105"/>
        </w:rPr>
        <w:t>Room</w:t>
      </w:r>
      <w:r w:rsidRPr="00581499">
        <w:rPr>
          <w:spacing w:val="-9"/>
          <w:w w:val="105"/>
        </w:rPr>
        <w:t xml:space="preserve"> </w:t>
      </w:r>
      <w:r w:rsidRPr="00581499">
        <w:rPr>
          <w:w w:val="105"/>
        </w:rPr>
        <w:t>3036A,</w:t>
      </w:r>
      <w:r w:rsidRPr="00581499">
        <w:rPr>
          <w:spacing w:val="-7"/>
          <w:w w:val="105"/>
        </w:rPr>
        <w:t xml:space="preserve"> </w:t>
      </w:r>
      <w:r w:rsidRPr="00581499">
        <w:rPr>
          <w:w w:val="105"/>
        </w:rPr>
        <w:t>Bet</w:t>
      </w:r>
      <w:r w:rsidRPr="00581499">
        <w:rPr>
          <w:spacing w:val="-30"/>
          <w:w w:val="105"/>
        </w:rPr>
        <w:t xml:space="preserve"> </w:t>
      </w:r>
      <w:r w:rsidRPr="00581499">
        <w:rPr>
          <w:w w:val="105"/>
        </w:rPr>
        <w:t>hesda,</w:t>
      </w:r>
      <w:r w:rsidRPr="00581499">
        <w:rPr>
          <w:spacing w:val="-8"/>
          <w:w w:val="105"/>
        </w:rPr>
        <w:t xml:space="preserve"> </w:t>
      </w:r>
      <w:r w:rsidRPr="00581499">
        <w:rPr>
          <w:w w:val="105"/>
        </w:rPr>
        <w:t>M</w:t>
      </w:r>
      <w:r w:rsidRPr="00581499">
        <w:rPr>
          <w:spacing w:val="-31"/>
          <w:w w:val="105"/>
        </w:rPr>
        <w:t xml:space="preserve"> </w:t>
      </w:r>
      <w:r w:rsidRPr="00581499">
        <w:rPr>
          <w:w w:val="105"/>
        </w:rPr>
        <w:t>D,</w:t>
      </w:r>
      <w:r w:rsidRPr="00581499">
        <w:rPr>
          <w:spacing w:val="-15"/>
          <w:w w:val="105"/>
        </w:rPr>
        <w:t xml:space="preserve"> </w:t>
      </w:r>
      <w:r w:rsidRPr="00581499">
        <w:rPr>
          <w:w w:val="105"/>
        </w:rPr>
        <w:t>20892— b322, (500) 4—CANCER, http:// wwiv.cancer.gov.</w:t>
      </w:r>
    </w:p>
    <w:p w:rsidR="00E432FC" w:rsidRPr="00581499" w:rsidRDefault="00E432FC" w:rsidP="00E432FC">
      <w:pPr>
        <w:tabs>
          <w:tab w:val="left" w:pos="993"/>
          <w:tab w:val="left" w:pos="1080"/>
        </w:tabs>
        <w:spacing w:after="0" w:line="276" w:lineRule="auto"/>
        <w:contextualSpacing/>
        <w:rPr>
          <w:rFonts w:eastAsia="Calibri"/>
          <w:b/>
          <w:lang w:val="es-ES"/>
        </w:rPr>
      </w:pPr>
    </w:p>
    <w:p w:rsidR="000B6BAA" w:rsidRPr="00E432FC" w:rsidRDefault="000B6BAA" w:rsidP="00E432FC">
      <w:pPr>
        <w:ind w:firstLine="0"/>
        <w:rPr>
          <w:rFonts w:eastAsia="Calibri"/>
        </w:rPr>
      </w:pPr>
      <w:bookmarkStart w:id="1" w:name="_GoBack"/>
      <w:bookmarkEnd w:id="1"/>
    </w:p>
    <w:sectPr w:rsidR="000B6BAA" w:rsidRPr="00E432FC"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C83"/>
    <w:multiLevelType w:val="hybridMultilevel"/>
    <w:tmpl w:val="B890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619C8"/>
    <w:multiLevelType w:val="multilevel"/>
    <w:tmpl w:val="812618A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883849"/>
    <w:multiLevelType w:val="hybridMultilevel"/>
    <w:tmpl w:val="1D52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0091"/>
    <w:multiLevelType w:val="multilevel"/>
    <w:tmpl w:val="C4FA4E5C"/>
    <w:lvl w:ilvl="0">
      <w:start w:val="1"/>
      <w:numFmt w:val="decimal"/>
      <w:lvlText w:val="%1."/>
      <w:lvlJc w:val="left"/>
      <w:pPr>
        <w:tabs>
          <w:tab w:val="num" w:pos="1134"/>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064C2FD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8423B1"/>
    <w:multiLevelType w:val="hybridMultilevel"/>
    <w:tmpl w:val="BBC4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EAE"/>
    <w:multiLevelType w:val="multilevel"/>
    <w:tmpl w:val="74ECF9D8"/>
    <w:lvl w:ilvl="0">
      <w:start w:val="1"/>
      <w:numFmt w:val="decimal"/>
      <w:lvlText w:val="%1."/>
      <w:lvlJc w:val="left"/>
      <w:pPr>
        <w:tabs>
          <w:tab w:val="num" w:pos="0"/>
        </w:tabs>
        <w:ind w:left="1069" w:hanging="360"/>
      </w:pPr>
      <w:rPr>
        <w:color w:val="231F2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1E0B3605"/>
    <w:multiLevelType w:val="hybridMultilevel"/>
    <w:tmpl w:val="E3FA945A"/>
    <w:lvl w:ilvl="0" w:tplc="47DE81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AE5E8F"/>
    <w:multiLevelType w:val="hybridMultilevel"/>
    <w:tmpl w:val="19AE8B56"/>
    <w:lvl w:ilvl="0" w:tplc="0E3086F0">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250D2F28"/>
    <w:multiLevelType w:val="multilevel"/>
    <w:tmpl w:val="B9383AC6"/>
    <w:lvl w:ilvl="0">
      <w:start w:val="1"/>
      <w:numFmt w:val="decimal"/>
      <w:lvlText w:val="%1."/>
      <w:lvlJc w:val="left"/>
      <w:pPr>
        <w:tabs>
          <w:tab w:val="num" w:pos="1134"/>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266B1C03"/>
    <w:multiLevelType w:val="multilevel"/>
    <w:tmpl w:val="F0DCE964"/>
    <w:lvl w:ilvl="0">
      <w:start w:val="1"/>
      <w:numFmt w:val="decimal"/>
      <w:lvlText w:val="%1."/>
      <w:lvlJc w:val="left"/>
      <w:pPr>
        <w:tabs>
          <w:tab w:val="num" w:pos="1134"/>
        </w:tabs>
        <w:ind w:left="0" w:firstLine="709"/>
      </w:pPr>
      <w:rPr>
        <w:b w:val="0"/>
        <w:sz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28590733"/>
    <w:multiLevelType w:val="hybridMultilevel"/>
    <w:tmpl w:val="485A0DAA"/>
    <w:lvl w:ilvl="0" w:tplc="8836E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C63EB8"/>
    <w:multiLevelType w:val="hybridMultilevel"/>
    <w:tmpl w:val="9D066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9E0B74"/>
    <w:multiLevelType w:val="hybridMultilevel"/>
    <w:tmpl w:val="5C34C8A2"/>
    <w:lvl w:ilvl="0" w:tplc="ACFA9C36">
      <w:start w:val="1"/>
      <w:numFmt w:val="decimal"/>
      <w:lvlText w:val="%1."/>
      <w:lvlJc w:val="left"/>
      <w:pPr>
        <w:ind w:left="1069" w:hanging="360"/>
      </w:pPr>
      <w:rPr>
        <w:rFonts w:ascii="Times New Roman" w:hAnsi="Times New Roman" w:cs="Times New Roman" w:hint="default"/>
        <w:color w:val="231F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BD54E22"/>
    <w:multiLevelType w:val="hybridMultilevel"/>
    <w:tmpl w:val="7EA2B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F74BC"/>
    <w:multiLevelType w:val="multilevel"/>
    <w:tmpl w:val="44920064"/>
    <w:lvl w:ilvl="0">
      <w:start w:val="1"/>
      <w:numFmt w:val="decimal"/>
      <w:lvlText w:val="%1."/>
      <w:lvlJc w:val="left"/>
      <w:pPr>
        <w:tabs>
          <w:tab w:val="num" w:pos="1134"/>
        </w:tabs>
        <w:ind w:left="0" w:firstLine="709"/>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52A4D58"/>
    <w:multiLevelType w:val="hybridMultilevel"/>
    <w:tmpl w:val="6002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92678"/>
    <w:multiLevelType w:val="hybridMultilevel"/>
    <w:tmpl w:val="D376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C1ADF"/>
    <w:multiLevelType w:val="hybridMultilevel"/>
    <w:tmpl w:val="FFFFFFFF"/>
    <w:lvl w:ilvl="0" w:tplc="0102EB1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1BC7CD1"/>
    <w:multiLevelType w:val="hybridMultilevel"/>
    <w:tmpl w:val="54FE2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A10C41"/>
    <w:multiLevelType w:val="multilevel"/>
    <w:tmpl w:val="84D8BE70"/>
    <w:lvl w:ilvl="0">
      <w:start w:val="1"/>
      <w:numFmt w:val="decimal"/>
      <w:lvlText w:val="%1."/>
      <w:lvlJc w:val="left"/>
      <w:pPr>
        <w:tabs>
          <w:tab w:val="num" w:pos="0"/>
        </w:tabs>
        <w:ind w:left="1069" w:hanging="360"/>
      </w:pPr>
      <w:rPr>
        <w:rFonts w:eastAsia="Malgun Gothic"/>
        <w:b w:val="0"/>
        <w:color w:val="231F2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46317AF1"/>
    <w:multiLevelType w:val="hybridMultilevel"/>
    <w:tmpl w:val="B8C2828A"/>
    <w:lvl w:ilvl="0" w:tplc="8F30BB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A8D37BB"/>
    <w:multiLevelType w:val="multilevel"/>
    <w:tmpl w:val="A26A250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4BB225EF"/>
    <w:multiLevelType w:val="hybridMultilevel"/>
    <w:tmpl w:val="5FBAC7D4"/>
    <w:lvl w:ilvl="0" w:tplc="381A84A6">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4C2451E5"/>
    <w:multiLevelType w:val="hybridMultilevel"/>
    <w:tmpl w:val="CA9A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B1631"/>
    <w:multiLevelType w:val="multilevel"/>
    <w:tmpl w:val="0BCE3B4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0191823"/>
    <w:multiLevelType w:val="hybridMultilevel"/>
    <w:tmpl w:val="4DB0B4D4"/>
    <w:lvl w:ilvl="0" w:tplc="0D28284A">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208349A"/>
    <w:multiLevelType w:val="multilevel"/>
    <w:tmpl w:val="7248944C"/>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8" w15:restartNumberingAfterBreak="0">
    <w:nsid w:val="5A16404B"/>
    <w:multiLevelType w:val="hybridMultilevel"/>
    <w:tmpl w:val="9BEAF7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4F4940"/>
    <w:multiLevelType w:val="multilevel"/>
    <w:tmpl w:val="CBD6598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0" w15:restartNumberingAfterBreak="0">
    <w:nsid w:val="613A3230"/>
    <w:multiLevelType w:val="multilevel"/>
    <w:tmpl w:val="D4A8B7C0"/>
    <w:lvl w:ilvl="0">
      <w:start w:val="1"/>
      <w:numFmt w:val="decimal"/>
      <w:lvlText w:val="%1."/>
      <w:lvlJc w:val="left"/>
      <w:pPr>
        <w:tabs>
          <w:tab w:val="num" w:pos="0"/>
        </w:tabs>
        <w:ind w:left="720" w:hanging="360"/>
      </w:pPr>
      <w:rPr>
        <w:rFonts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2011993"/>
    <w:multiLevelType w:val="multilevel"/>
    <w:tmpl w:val="AF445BB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43F0E66"/>
    <w:multiLevelType w:val="hybridMultilevel"/>
    <w:tmpl w:val="1DEAE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E2BE4"/>
    <w:multiLevelType w:val="hybridMultilevel"/>
    <w:tmpl w:val="59243388"/>
    <w:lvl w:ilvl="0" w:tplc="904AC98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6B974923"/>
    <w:multiLevelType w:val="hybridMultilevel"/>
    <w:tmpl w:val="7248ADFC"/>
    <w:lvl w:ilvl="0" w:tplc="BB98270C">
      <w:start w:val="1"/>
      <w:numFmt w:val="decimal"/>
      <w:lvlText w:val="%1."/>
      <w:lvlJc w:val="left"/>
      <w:pPr>
        <w:ind w:left="1069" w:hanging="360"/>
      </w:pPr>
      <w:rPr>
        <w:rFonts w:hint="default"/>
        <w:color w:val="231F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C4318A3"/>
    <w:multiLevelType w:val="multilevel"/>
    <w:tmpl w:val="96384846"/>
    <w:lvl w:ilvl="0">
      <w:start w:val="1"/>
      <w:numFmt w:val="decimal"/>
      <w:lvlText w:val="%1."/>
      <w:lvlJc w:val="left"/>
      <w:pPr>
        <w:tabs>
          <w:tab w:val="num" w:pos="1134"/>
        </w:tabs>
        <w:ind w:left="567" w:firstLine="142"/>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6" w15:restartNumberingAfterBreak="0">
    <w:nsid w:val="6D9D6079"/>
    <w:multiLevelType w:val="hybridMultilevel"/>
    <w:tmpl w:val="F42E3762"/>
    <w:lvl w:ilvl="0" w:tplc="ED4614CA">
      <w:start w:val="1"/>
      <w:numFmt w:val="decimal"/>
      <w:lvlText w:val="%1."/>
      <w:lvlJc w:val="left"/>
      <w:pPr>
        <w:tabs>
          <w:tab w:val="num" w:pos="1287"/>
        </w:tabs>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F042E00"/>
    <w:multiLevelType w:val="multilevel"/>
    <w:tmpl w:val="00B2E6B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2D46F21"/>
    <w:multiLevelType w:val="hybridMultilevel"/>
    <w:tmpl w:val="FF60AE16"/>
    <w:lvl w:ilvl="0" w:tplc="B6EAA0CA">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4BF1D75"/>
    <w:multiLevelType w:val="multilevel"/>
    <w:tmpl w:val="77D487D0"/>
    <w:lvl w:ilvl="0">
      <w:start w:val="1"/>
      <w:numFmt w:val="decimal"/>
      <w:lvlText w:val="%1."/>
      <w:lvlJc w:val="left"/>
      <w:pPr>
        <w:tabs>
          <w:tab w:val="num" w:pos="0"/>
        </w:tabs>
        <w:ind w:left="1080" w:hanging="360"/>
      </w:pPr>
      <w:rPr>
        <w:color w:val="231F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77EB3377"/>
    <w:multiLevelType w:val="multilevel"/>
    <w:tmpl w:val="1F44CA5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C021A38"/>
    <w:multiLevelType w:val="hybridMultilevel"/>
    <w:tmpl w:val="F5C41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3"/>
  </w:num>
  <w:num w:numId="4">
    <w:abstractNumId w:val="36"/>
  </w:num>
  <w:num w:numId="5">
    <w:abstractNumId w:val="8"/>
  </w:num>
  <w:num w:numId="6">
    <w:abstractNumId w:val="18"/>
  </w:num>
  <w:num w:numId="7">
    <w:abstractNumId w:val="26"/>
  </w:num>
  <w:num w:numId="8">
    <w:abstractNumId w:val="21"/>
  </w:num>
  <w:num w:numId="9">
    <w:abstractNumId w:val="28"/>
  </w:num>
  <w:num w:numId="10">
    <w:abstractNumId w:val="5"/>
  </w:num>
  <w:num w:numId="11">
    <w:abstractNumId w:val="33"/>
  </w:num>
  <w:num w:numId="12">
    <w:abstractNumId w:val="11"/>
  </w:num>
  <w:num w:numId="13">
    <w:abstractNumId w:val="22"/>
  </w:num>
  <w:num w:numId="14">
    <w:abstractNumId w:val="30"/>
  </w:num>
  <w:num w:numId="15">
    <w:abstractNumId w:val="10"/>
  </w:num>
  <w:num w:numId="16">
    <w:abstractNumId w:val="15"/>
  </w:num>
  <w:num w:numId="17">
    <w:abstractNumId w:val="29"/>
  </w:num>
  <w:num w:numId="18">
    <w:abstractNumId w:val="13"/>
  </w:num>
  <w:num w:numId="19">
    <w:abstractNumId w:val="19"/>
  </w:num>
  <w:num w:numId="20">
    <w:abstractNumId w:val="39"/>
  </w:num>
  <w:num w:numId="21">
    <w:abstractNumId w:val="41"/>
  </w:num>
  <w:num w:numId="22">
    <w:abstractNumId w:val="34"/>
  </w:num>
  <w:num w:numId="23">
    <w:abstractNumId w:val="2"/>
  </w:num>
  <w:num w:numId="24">
    <w:abstractNumId w:val="7"/>
  </w:num>
  <w:num w:numId="25">
    <w:abstractNumId w:val="20"/>
  </w:num>
  <w:num w:numId="26">
    <w:abstractNumId w:val="17"/>
  </w:num>
  <w:num w:numId="27">
    <w:abstractNumId w:val="35"/>
  </w:num>
  <w:num w:numId="28">
    <w:abstractNumId w:val="32"/>
  </w:num>
  <w:num w:numId="29">
    <w:abstractNumId w:val="31"/>
  </w:num>
  <w:num w:numId="30">
    <w:abstractNumId w:val="27"/>
  </w:num>
  <w:num w:numId="31">
    <w:abstractNumId w:val="25"/>
  </w:num>
  <w:num w:numId="32">
    <w:abstractNumId w:val="40"/>
  </w:num>
  <w:num w:numId="33">
    <w:abstractNumId w:val="3"/>
  </w:num>
  <w:num w:numId="34">
    <w:abstractNumId w:val="0"/>
  </w:num>
  <w:num w:numId="35">
    <w:abstractNumId w:val="37"/>
  </w:num>
  <w:num w:numId="36">
    <w:abstractNumId w:val="1"/>
  </w:num>
  <w:num w:numId="37">
    <w:abstractNumId w:val="9"/>
  </w:num>
  <w:num w:numId="38">
    <w:abstractNumId w:val="24"/>
  </w:num>
  <w:num w:numId="39">
    <w:abstractNumId w:val="14"/>
  </w:num>
  <w:num w:numId="40">
    <w:abstractNumId w:val="6"/>
  </w:num>
  <w:num w:numId="41">
    <w:abstractNumId w:val="16"/>
  </w:num>
  <w:num w:numId="42">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42029"/>
    <w:rsid w:val="000420C5"/>
    <w:rsid w:val="000454E3"/>
    <w:rsid w:val="00053B68"/>
    <w:rsid w:val="000A1345"/>
    <w:rsid w:val="000B49F6"/>
    <w:rsid w:val="000B6BAA"/>
    <w:rsid w:val="000D2F90"/>
    <w:rsid w:val="000F6B69"/>
    <w:rsid w:val="001547FD"/>
    <w:rsid w:val="001560F1"/>
    <w:rsid w:val="001642DB"/>
    <w:rsid w:val="001771EF"/>
    <w:rsid w:val="00194D7D"/>
    <w:rsid w:val="001A3D39"/>
    <w:rsid w:val="001D441E"/>
    <w:rsid w:val="001D5D66"/>
    <w:rsid w:val="001F20A0"/>
    <w:rsid w:val="00224D33"/>
    <w:rsid w:val="00231C47"/>
    <w:rsid w:val="00233CEA"/>
    <w:rsid w:val="002667AB"/>
    <w:rsid w:val="00271A59"/>
    <w:rsid w:val="00273149"/>
    <w:rsid w:val="002D2C6E"/>
    <w:rsid w:val="002E7D0D"/>
    <w:rsid w:val="003002B9"/>
    <w:rsid w:val="003079C0"/>
    <w:rsid w:val="00321C5B"/>
    <w:rsid w:val="00334693"/>
    <w:rsid w:val="0034219C"/>
    <w:rsid w:val="00374CBE"/>
    <w:rsid w:val="00381949"/>
    <w:rsid w:val="00381E4A"/>
    <w:rsid w:val="003838FF"/>
    <w:rsid w:val="00391A26"/>
    <w:rsid w:val="003A3820"/>
    <w:rsid w:val="003C4B5A"/>
    <w:rsid w:val="0041721F"/>
    <w:rsid w:val="0042544A"/>
    <w:rsid w:val="00427C51"/>
    <w:rsid w:val="004343CD"/>
    <w:rsid w:val="004847BB"/>
    <w:rsid w:val="00490A6F"/>
    <w:rsid w:val="004A356B"/>
    <w:rsid w:val="004C5369"/>
    <w:rsid w:val="004D1445"/>
    <w:rsid w:val="004E053C"/>
    <w:rsid w:val="004F2667"/>
    <w:rsid w:val="00536AA4"/>
    <w:rsid w:val="00537B67"/>
    <w:rsid w:val="0057012D"/>
    <w:rsid w:val="005765F4"/>
    <w:rsid w:val="00577A91"/>
    <w:rsid w:val="005915CA"/>
    <w:rsid w:val="00592227"/>
    <w:rsid w:val="00592B9E"/>
    <w:rsid w:val="005B22C3"/>
    <w:rsid w:val="005D59D5"/>
    <w:rsid w:val="00600DBD"/>
    <w:rsid w:val="0060249D"/>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A0215"/>
    <w:rsid w:val="008A327A"/>
    <w:rsid w:val="008B0B53"/>
    <w:rsid w:val="008B7E46"/>
    <w:rsid w:val="008C39A7"/>
    <w:rsid w:val="008C6F11"/>
    <w:rsid w:val="008F4F10"/>
    <w:rsid w:val="009256F0"/>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3065"/>
    <w:rsid w:val="00AB59B5"/>
    <w:rsid w:val="00AC62D3"/>
    <w:rsid w:val="00AE3FD1"/>
    <w:rsid w:val="00AF4E95"/>
    <w:rsid w:val="00B30FA1"/>
    <w:rsid w:val="00B44C50"/>
    <w:rsid w:val="00B55151"/>
    <w:rsid w:val="00B85ADD"/>
    <w:rsid w:val="00B92741"/>
    <w:rsid w:val="00B97FA5"/>
    <w:rsid w:val="00BB1C53"/>
    <w:rsid w:val="00BD45AA"/>
    <w:rsid w:val="00BE6553"/>
    <w:rsid w:val="00BF4E16"/>
    <w:rsid w:val="00C05A6E"/>
    <w:rsid w:val="00C21851"/>
    <w:rsid w:val="00C24486"/>
    <w:rsid w:val="00C35B9F"/>
    <w:rsid w:val="00C6032C"/>
    <w:rsid w:val="00C67146"/>
    <w:rsid w:val="00C77C7A"/>
    <w:rsid w:val="00CA24F5"/>
    <w:rsid w:val="00CA6C00"/>
    <w:rsid w:val="00CB1F02"/>
    <w:rsid w:val="00D01398"/>
    <w:rsid w:val="00D14647"/>
    <w:rsid w:val="00D23A76"/>
    <w:rsid w:val="00D66526"/>
    <w:rsid w:val="00D67973"/>
    <w:rsid w:val="00DA498A"/>
    <w:rsid w:val="00DA6B65"/>
    <w:rsid w:val="00DB609A"/>
    <w:rsid w:val="00DE4E2C"/>
    <w:rsid w:val="00E02D70"/>
    <w:rsid w:val="00E118FA"/>
    <w:rsid w:val="00E15285"/>
    <w:rsid w:val="00E432FC"/>
    <w:rsid w:val="00E8752A"/>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6634"/>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c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cvcntcanccr.org/" TargetMode="External"/><Relationship Id="rId5" Type="http://schemas.openxmlformats.org/officeDocument/2006/relationships/hyperlink" Target="http://www.nlm.nih.gov/medlineplus/cervicalcance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168</cp:revision>
  <dcterms:created xsi:type="dcterms:W3CDTF">2025-11-24T04:30:00Z</dcterms:created>
  <dcterms:modified xsi:type="dcterms:W3CDTF">2025-12-08T08:34:00Z</dcterms:modified>
</cp:coreProperties>
</file>